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0D0009E0" w:rsidR="006F3955" w:rsidRPr="008464E9" w:rsidRDefault="008464E9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Oracle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Exada</w:t>
                                </w:r>
                                <w:r w:rsidR="00234ED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ta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Support Renewal</w:t>
                                </w:r>
                              </w:p>
                              <w:p w14:paraId="573A4337" w14:textId="77777777" w:rsidR="006F3955" w:rsidRPr="00C46668" w:rsidRDefault="006F3955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0D0009E0" w:rsidR="006F3955" w:rsidRPr="008464E9" w:rsidRDefault="008464E9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Oracle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Exada</w:t>
                          </w:r>
                          <w:r w:rsidR="00234ED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ta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Support Renewal</w:t>
                          </w:r>
                        </w:p>
                        <w:p w14:paraId="573A4337" w14:textId="77777777" w:rsidR="006F3955" w:rsidRPr="00C46668" w:rsidRDefault="006F3955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21A5AEEE" w:rsidR="006F3955" w:rsidRDefault="008464E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14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</w:p>
                                    <w:p w14:paraId="5273460A" w14:textId="7E231F71" w:rsidR="006F3955" w:rsidRPr="00415C7C" w:rsidRDefault="008464E9" w:rsidP="008464E9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19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 xml:space="preserve"> 2019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FB4E93D" w:rsidR="006F3955" w:rsidRPr="008464E9" w:rsidRDefault="008464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ბექა ჭოლაძე</w:t>
                                      </w:r>
                                    </w:p>
                                    <w:p w14:paraId="2D516649" w14:textId="31CE08AC" w:rsidR="006F3955" w:rsidRPr="008464E9" w:rsidRDefault="008464E9" w:rsidP="00313B50">
                                      <w:r>
                                        <w:t>Bcholadze@bog.ge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21A5AEEE" w:rsidR="006F3955" w:rsidRDefault="008464E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14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თებერვალი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>
                                  <w:rPr>
                                    <w:lang w:val="ka-GE"/>
                                  </w:rPr>
                                  <w:t>20</w:t>
                                </w:r>
                              </w:p>
                              <w:p w14:paraId="5273460A" w14:textId="7E231F71" w:rsidR="006F3955" w:rsidRPr="00415C7C" w:rsidRDefault="008464E9" w:rsidP="008464E9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19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თებერვალი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 xml:space="preserve"> 2019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FB4E93D" w:rsidR="006F3955" w:rsidRPr="008464E9" w:rsidRDefault="008464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ბექა ჭოლაძე</w:t>
                                </w:r>
                              </w:p>
                              <w:p w14:paraId="2D516649" w14:textId="31CE08AC" w:rsidR="006F3955" w:rsidRPr="008464E9" w:rsidRDefault="008464E9" w:rsidP="00313B50">
                                <w:r>
                                  <w:t>Bcholadze@bog.ge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4B763D68" w14:textId="77777777" w:rsidR="00234EDA" w:rsidRPr="008464E9" w:rsidRDefault="00234EDA" w:rsidP="00234EDA">
      <w:pPr>
        <w:jc w:val="center"/>
        <w:rPr>
          <w:rFonts w:cs="Arial"/>
          <w:b/>
          <w:color w:val="auto"/>
          <w:sz w:val="40"/>
          <w:szCs w:val="56"/>
        </w:rPr>
      </w:pPr>
      <w:r>
        <w:rPr>
          <w:rFonts w:cs="Arial"/>
          <w:b/>
          <w:color w:val="auto"/>
          <w:sz w:val="40"/>
          <w:szCs w:val="56"/>
        </w:rPr>
        <w:t xml:space="preserve">Oracle </w:t>
      </w:r>
      <w:proofErr w:type="spellStart"/>
      <w:r>
        <w:rPr>
          <w:rFonts w:cs="Arial"/>
          <w:b/>
          <w:color w:val="auto"/>
          <w:sz w:val="40"/>
          <w:szCs w:val="56"/>
        </w:rPr>
        <w:t>Exadata</w:t>
      </w:r>
      <w:proofErr w:type="spellEnd"/>
      <w:r>
        <w:rPr>
          <w:rFonts w:cs="Arial"/>
          <w:b/>
          <w:color w:val="auto"/>
          <w:sz w:val="40"/>
          <w:szCs w:val="56"/>
        </w:rPr>
        <w:t xml:space="preserve"> Support Renewal</w:t>
      </w:r>
    </w:p>
    <w:p w14:paraId="6531E5D8" w14:textId="77777777" w:rsidR="008464E9" w:rsidRDefault="008464E9" w:rsidP="002A2EFD">
      <w:pPr>
        <w:pStyle w:val="NoSpacing"/>
        <w:tabs>
          <w:tab w:val="center" w:pos="4801"/>
          <w:tab w:val="right" w:pos="9603"/>
        </w:tabs>
        <w:jc w:val="center"/>
        <w:rPr>
          <w:rFonts w:eastAsiaTheme="minorHAnsi" w:cs="Sylfaen"/>
          <w:b/>
          <w:color w:val="auto"/>
          <w:sz w:val="40"/>
          <w:szCs w:val="56"/>
          <w:lang w:eastAsia="en-US"/>
        </w:rPr>
      </w:pPr>
    </w:p>
    <w:p w14:paraId="5176EFB1" w14:textId="21AEB982" w:rsidR="00971FCA" w:rsidRPr="001C15B4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40"/>
          <w:szCs w:val="56"/>
          <w:lang w:val="ka-GE" w:eastAsia="en-US"/>
        </w:rPr>
      </w:pPr>
      <w:r w:rsidRPr="001C15B4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1C15B4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1D0556CD" w14:textId="761F2ECD" w:rsidR="001A65B2" w:rsidRPr="001C15B4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234ED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234ED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234ED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234ED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635AF4D9" w14:textId="444D230C" w:rsidR="00D1450D" w:rsidRDefault="00D1450D" w:rsidP="00D1450D">
      <w:pPr>
        <w:rPr>
          <w:rFonts w:eastAsiaTheme="minorEastAsia" w:cs="Sylfaen"/>
          <w:lang w:eastAsia="ja-JP"/>
        </w:rPr>
      </w:pPr>
      <w:r w:rsidRPr="001C15B4">
        <w:rPr>
          <w:rFonts w:eastAsiaTheme="minorEastAsia" w:cs="Sylfaen"/>
          <w:lang w:val="ka-GE" w:eastAsia="ja-JP"/>
        </w:rPr>
        <w:t>სს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საქართველოს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ბანკი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ტენდერს</w:t>
      </w:r>
      <w:r w:rsidRPr="00424B6B">
        <w:rPr>
          <w:rFonts w:eastAsiaTheme="minorEastAsia" w:cs="Sylfaen"/>
          <w:lang w:val="ka-GE" w:eastAsia="ja-JP"/>
        </w:rPr>
        <w:t xml:space="preserve"> </w:t>
      </w:r>
      <w:r w:rsidR="00234EDA" w:rsidRPr="00234EDA">
        <w:rPr>
          <w:rFonts w:eastAsiaTheme="minorEastAsia" w:cs="Sylfaen"/>
          <w:lang w:val="ka-GE" w:eastAsia="ja-JP"/>
        </w:rPr>
        <w:t>Oracle Exadata Support Renewal</w:t>
      </w:r>
      <w:bookmarkStart w:id="5" w:name="_GoBack"/>
      <w:bookmarkEnd w:id="5"/>
      <w:r w:rsidRPr="00424B6B">
        <w:rPr>
          <w:rFonts w:eastAsiaTheme="minorEastAsia" w:cs="Sylfaen"/>
          <w:lang w:val="ka-GE" w:eastAsia="ja-JP"/>
        </w:rPr>
        <w:t xml:space="preserve"> შესყიდვის მიზნით.</w:t>
      </w:r>
    </w:p>
    <w:p w14:paraId="33700273" w14:textId="77777777" w:rsidR="00D1450D" w:rsidRPr="00D1450D" w:rsidRDefault="00D1450D" w:rsidP="00D1450D">
      <w:pPr>
        <w:rPr>
          <w:rFonts w:eastAsiaTheme="minorEastAsia" w:cs="Sylfaen"/>
          <w:lang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074DBD"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r>
        <w:rPr>
          <w:rFonts w:eastAsiaTheme="minorEastAsia"/>
          <w:lang w:val="ka-GE" w:eastAsia="ja-JP"/>
        </w:rPr>
        <w:t>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5AD1AFF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8464E9">
        <w:rPr>
          <w:lang w:val="ka-GE"/>
        </w:rPr>
        <w:t xml:space="preserve">დოლარში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11FFE42C" w14:textId="0E88D7DC" w:rsidR="00A66B58" w:rsidRPr="00E6278E" w:rsidRDefault="00A66B58" w:rsidP="00A66B58">
      <w:pPr>
        <w:rPr>
          <w:lang w:val="ka-GE"/>
        </w:rPr>
      </w:pPr>
      <w:r w:rsidRPr="00A66B58">
        <w:rPr>
          <w:lang w:val="ka-GE"/>
        </w:rPr>
        <w:t>ხელშეკრულების ფარგლებში ანგარიშსწორება</w:t>
      </w:r>
      <w:r w:rsidRPr="00A66B58">
        <w:t xml:space="preserve"> </w:t>
      </w:r>
      <w:r w:rsidRPr="00A66B58">
        <w:rPr>
          <w:lang w:val="ka-GE"/>
        </w:rPr>
        <w:t xml:space="preserve">განხორციელდება </w:t>
      </w:r>
      <w:proofErr w:type="spellStart"/>
      <w:r w:rsidR="00E6278E">
        <w:t>ყოველწლიურად</w:t>
      </w:r>
      <w:proofErr w:type="spellEnd"/>
      <w:r w:rsidR="00E6278E">
        <w:t xml:space="preserve"> </w:t>
      </w:r>
      <w:proofErr w:type="spellStart"/>
      <w:r w:rsidR="00E6278E">
        <w:t>თანაბარი</w:t>
      </w:r>
      <w:proofErr w:type="spellEnd"/>
      <w:r w:rsidR="00E6278E">
        <w:t xml:space="preserve"> </w:t>
      </w:r>
      <w:proofErr w:type="spellStart"/>
      <w:r w:rsidR="00E6278E">
        <w:t>გადახდებით</w:t>
      </w:r>
      <w:proofErr w:type="spellEnd"/>
    </w:p>
    <w:p w14:paraId="24C8DC5B" w14:textId="77777777" w:rsidR="00A66B58" w:rsidRDefault="00A66B58" w:rsidP="0038278C">
      <w:pPr>
        <w:rPr>
          <w:rFonts w:cstheme="minorHAnsi"/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6" w:name="_Toc534810155"/>
      <w:bookmarkStart w:id="7" w:name="_Toc22227846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 მოთხოვნები</w:t>
      </w:r>
      <w:bookmarkEnd w:id="6"/>
      <w:bookmarkEnd w:id="7"/>
    </w:p>
    <w:p w14:paraId="2293A609" w14:textId="14567248" w:rsidR="00B8474F" w:rsidRP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მიწოდება განხორციელდეს ხელშეკრულების გაფორმებიდან </w:t>
      </w:r>
      <w:r w:rsidR="008464E9">
        <w:rPr>
          <w:rFonts w:cs="Sylfaen"/>
          <w:lang w:val="ka-GE"/>
        </w:rPr>
        <w:t xml:space="preserve">5 </w:t>
      </w:r>
      <w:r w:rsidRPr="00B8474F">
        <w:rPr>
          <w:rFonts w:cs="Sylfaen"/>
          <w:lang w:val="ka-GE"/>
        </w:rPr>
        <w:t>კალენდარული დღის ვადაში;</w:t>
      </w:r>
    </w:p>
    <w:p w14:paraId="1555671D" w14:textId="50888F09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AA2871">
        <w:rPr>
          <w:rFonts w:cs="Sylfaen"/>
          <w:lang w:val="ka-GE"/>
        </w:rPr>
        <w:t xml:space="preserve">ქ. თბილისი, </w:t>
      </w:r>
      <w:r w:rsidR="008464E9">
        <w:rPr>
          <w:rFonts w:cs="Sylfaen"/>
          <w:lang w:val="ka-GE"/>
        </w:rPr>
        <w:t>გაგარინის 29ა</w:t>
      </w:r>
      <w:r w:rsidRPr="00AA2871">
        <w:rPr>
          <w:rFonts w:cs="Sylfaen"/>
          <w:lang w:val="ka-GE"/>
        </w:rPr>
        <w:t>;</w:t>
      </w:r>
    </w:p>
    <w:p w14:paraId="22C05B65" w14:textId="17D5427E" w:rsidR="00B8474F" w:rsidRPr="00D77D7C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</w:t>
      </w:r>
      <w:r w:rsidR="00C2722A">
        <w:rPr>
          <w:rFonts w:cs="Sylfaen"/>
          <w:lang w:val="ka-GE"/>
        </w:rPr>
        <w:t>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5CCEB8EA" w14:textId="7E195479" w:rsidR="00BF7F13" w:rsidRPr="00B8474F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8" w:name="_Toc22227847"/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8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</w:t>
      </w:r>
      <w:r w:rsidRPr="00BF7F13">
        <w:rPr>
          <w:lang w:val="ka-GE"/>
        </w:rPr>
        <w:lastRenderedPageBreak/>
        <w:t>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4"/>
    <w:p w14:paraId="54BD3245" w14:textId="6AAA33BA" w:rsidR="00C50B02" w:rsidRDefault="00C50B02">
      <w:pPr>
        <w:jc w:val="left"/>
        <w:rPr>
          <w:rFonts w:eastAsiaTheme="minorEastAsia"/>
          <w:lang w:eastAsia="ja-JP"/>
        </w:rPr>
      </w:pPr>
      <w:r>
        <w:br w:type="page"/>
      </w:r>
    </w:p>
    <w:p w14:paraId="1E8F461B" w14:textId="77777777" w:rsidR="00850BA8" w:rsidRPr="009F7ED4" w:rsidRDefault="00850BA8" w:rsidP="00850BA8">
      <w:pPr>
        <w:pStyle w:val="NoSpacing"/>
      </w:pPr>
    </w:p>
    <w:p w14:paraId="1576CCA8" w14:textId="1409E1C8" w:rsidR="00BE670B" w:rsidRDefault="00E3757A" w:rsidP="00BD4E7F">
      <w:pPr>
        <w:pStyle w:val="a"/>
        <w:numPr>
          <w:ilvl w:val="0"/>
          <w:numId w:val="0"/>
        </w:numPr>
        <w:ind w:left="360" w:hanging="360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9" w:name="_Toc22227848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დანართი1: ფასების ცხრილი</w:t>
      </w:r>
      <w:bookmarkEnd w:id="9"/>
    </w:p>
    <w:p w14:paraId="798143FC" w14:textId="77777777" w:rsidR="00C50B02" w:rsidRPr="00C50B02" w:rsidRDefault="00C50B02" w:rsidP="00C50B02">
      <w:pPr>
        <w:pStyle w:val="a0"/>
        <w:numPr>
          <w:ilvl w:val="0"/>
          <w:numId w:val="0"/>
        </w:numPr>
        <w:ind w:left="360"/>
        <w:rPr>
          <w:lang w:eastAsia="en-US"/>
        </w:rPr>
      </w:pPr>
    </w:p>
    <w:tbl>
      <w:tblPr>
        <w:tblStyle w:val="TableGrid1"/>
        <w:tblW w:w="10080" w:type="dxa"/>
        <w:tblInd w:w="108" w:type="dxa"/>
        <w:tblLook w:val="04A0" w:firstRow="1" w:lastRow="0" w:firstColumn="1" w:lastColumn="0" w:noHBand="0" w:noVBand="1"/>
      </w:tblPr>
      <w:tblGrid>
        <w:gridCol w:w="6030"/>
        <w:gridCol w:w="1350"/>
        <w:gridCol w:w="1260"/>
        <w:gridCol w:w="1440"/>
      </w:tblGrid>
      <w:tr w:rsidR="00914816" w:rsidRPr="00BE670B" w14:paraId="5C33D3C6" w14:textId="77777777" w:rsidTr="00E6278E">
        <w:trPr>
          <w:trHeight w:val="755"/>
        </w:trPr>
        <w:tc>
          <w:tcPr>
            <w:tcW w:w="6030" w:type="dxa"/>
            <w:vAlign w:val="center"/>
          </w:tcPr>
          <w:p w14:paraId="099609B3" w14:textId="52300489" w:rsidR="00BE670B" w:rsidRPr="00BE670B" w:rsidRDefault="00BE670B" w:rsidP="00BE670B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მინიმალური სპეციფიკაციები</w:t>
            </w:r>
          </w:p>
        </w:tc>
        <w:tc>
          <w:tcPr>
            <w:tcW w:w="1350" w:type="dxa"/>
            <w:vAlign w:val="center"/>
          </w:tcPr>
          <w:p w14:paraId="5BFEC223" w14:textId="66FB8866" w:rsidR="00BE670B" w:rsidRPr="00BE670B" w:rsidRDefault="00E6278E" w:rsidP="00BE670B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60" w:type="dxa"/>
            <w:vAlign w:val="center"/>
          </w:tcPr>
          <w:p w14:paraId="576A95B3" w14:textId="08EBE371" w:rsidR="00BE670B" w:rsidRPr="00BE670B" w:rsidRDefault="00E6278E" w:rsidP="00BE670B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ფასი</w:t>
            </w:r>
          </w:p>
        </w:tc>
        <w:tc>
          <w:tcPr>
            <w:tcW w:w="1440" w:type="dxa"/>
            <w:vAlign w:val="center"/>
          </w:tcPr>
          <w:p w14:paraId="2EFDDDD4" w14:textId="0EFCD0E5" w:rsidR="00BE670B" w:rsidRPr="00E6278E" w:rsidRDefault="00E6278E" w:rsidP="00BE670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ჯამი (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USD)</w:t>
            </w:r>
          </w:p>
        </w:tc>
      </w:tr>
      <w:tr w:rsidR="00914816" w:rsidRPr="00BE670B" w14:paraId="7854733C" w14:textId="77777777" w:rsidTr="00E6278E">
        <w:trPr>
          <w:trHeight w:val="895"/>
        </w:trPr>
        <w:tc>
          <w:tcPr>
            <w:tcW w:w="6030" w:type="dxa"/>
          </w:tcPr>
          <w:p w14:paraId="5E706C20" w14:textId="4BEAECC7" w:rsidR="00BE670B" w:rsidRPr="00BE670B" w:rsidRDefault="00E6278E" w:rsidP="00E6278E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6278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Oracle EXADATA X4 SW </w:t>
            </w: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Pr="00E6278E">
              <w:rPr>
                <w:rFonts w:ascii="Sylfaen" w:hAnsi="Sylfaen" w:cs="Sylfaen"/>
                <w:sz w:val="20"/>
                <w:szCs w:val="20"/>
                <w:lang w:val="ka-GE"/>
              </w:rPr>
              <w:t>Y Support</w:t>
            </w:r>
          </w:p>
        </w:tc>
        <w:tc>
          <w:tcPr>
            <w:tcW w:w="1350" w:type="dxa"/>
          </w:tcPr>
          <w:p w14:paraId="19F0E48A" w14:textId="0E8A7759" w:rsidR="00BE670B" w:rsidRPr="00E6278E" w:rsidRDefault="00E6278E" w:rsidP="00BE670B">
            <w:pPr>
              <w:jc w:val="lef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497C3E9A" w14:textId="2415369B" w:rsidR="00BE670B" w:rsidRPr="00BE670B" w:rsidRDefault="00BE670B" w:rsidP="00BE670B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</w:tcPr>
          <w:p w14:paraId="3E7A63D3" w14:textId="77777777" w:rsidR="00BE670B" w:rsidRPr="00BE670B" w:rsidRDefault="00BE670B" w:rsidP="00BE670B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464E9" w:rsidRPr="00BE670B" w14:paraId="76837EC2" w14:textId="77777777" w:rsidTr="00E6278E">
        <w:trPr>
          <w:trHeight w:val="445"/>
        </w:trPr>
        <w:tc>
          <w:tcPr>
            <w:tcW w:w="6030" w:type="dxa"/>
          </w:tcPr>
          <w:p w14:paraId="2DA2CB7E" w14:textId="77777777" w:rsidR="008464E9" w:rsidRPr="00E6278E" w:rsidRDefault="008464E9" w:rsidP="00BE670B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596573B8" w14:textId="366CB9A2" w:rsidR="008464E9" w:rsidRPr="00E6278E" w:rsidRDefault="00E6278E" w:rsidP="00BE670B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6278E">
              <w:rPr>
                <w:rFonts w:ascii="Sylfaen" w:hAnsi="Sylfaen" w:cs="Sylfaen"/>
                <w:sz w:val="20"/>
                <w:szCs w:val="20"/>
                <w:lang w:val="ka-GE"/>
              </w:rPr>
              <w:t>Oracle EXADATA X6 SW 3Y Support</w:t>
            </w:r>
          </w:p>
          <w:p w14:paraId="5DF1D1FD" w14:textId="77777777" w:rsidR="008464E9" w:rsidRPr="00E6278E" w:rsidRDefault="008464E9" w:rsidP="00BE670B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14:paraId="2111B672" w14:textId="67330365" w:rsidR="008464E9" w:rsidRPr="00E6278E" w:rsidRDefault="00E6278E" w:rsidP="00BE670B">
            <w:pPr>
              <w:jc w:val="left"/>
              <w:rPr>
                <w:rFonts w:cs="Sylfaen"/>
              </w:rPr>
            </w:pPr>
            <w:r>
              <w:rPr>
                <w:rFonts w:cs="Sylfaen"/>
              </w:rPr>
              <w:t>1</w:t>
            </w:r>
          </w:p>
        </w:tc>
        <w:tc>
          <w:tcPr>
            <w:tcW w:w="1260" w:type="dxa"/>
            <w:vAlign w:val="center"/>
          </w:tcPr>
          <w:p w14:paraId="3F90FD98" w14:textId="77777777" w:rsidR="008464E9" w:rsidRPr="00BE670B" w:rsidRDefault="008464E9" w:rsidP="00BE670B">
            <w:pPr>
              <w:jc w:val="center"/>
              <w:rPr>
                <w:rFonts w:cs="Sylfaen"/>
                <w:lang w:val="ka-GE"/>
              </w:rPr>
            </w:pPr>
          </w:p>
        </w:tc>
        <w:tc>
          <w:tcPr>
            <w:tcW w:w="1440" w:type="dxa"/>
          </w:tcPr>
          <w:p w14:paraId="385D8351" w14:textId="77777777" w:rsidR="008464E9" w:rsidRPr="00BE670B" w:rsidRDefault="008464E9" w:rsidP="00BE670B">
            <w:pPr>
              <w:jc w:val="left"/>
              <w:rPr>
                <w:rFonts w:cs="Sylfaen"/>
                <w:lang w:val="ka-GE"/>
              </w:rPr>
            </w:pPr>
          </w:p>
        </w:tc>
      </w:tr>
      <w:tr w:rsidR="008464E9" w:rsidRPr="00BE670B" w14:paraId="18B20915" w14:textId="77777777" w:rsidTr="00E6278E">
        <w:trPr>
          <w:trHeight w:val="904"/>
        </w:trPr>
        <w:tc>
          <w:tcPr>
            <w:tcW w:w="6030" w:type="dxa"/>
          </w:tcPr>
          <w:p w14:paraId="1565A519" w14:textId="1B7DB794" w:rsidR="008464E9" w:rsidRPr="00E6278E" w:rsidRDefault="00E6278E" w:rsidP="00E6278E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6278E">
              <w:rPr>
                <w:rFonts w:ascii="Sylfaen" w:hAnsi="Sylfaen" w:cs="Sylfaen"/>
                <w:sz w:val="20"/>
                <w:szCs w:val="20"/>
                <w:lang w:val="ka-GE"/>
              </w:rPr>
              <w:t>Oracle EXADATA X6 (Migrated 2) SW 3Y Support</w:t>
            </w:r>
          </w:p>
        </w:tc>
        <w:tc>
          <w:tcPr>
            <w:tcW w:w="1350" w:type="dxa"/>
          </w:tcPr>
          <w:p w14:paraId="777B70BE" w14:textId="2B162BA9" w:rsidR="008464E9" w:rsidRPr="00E6278E" w:rsidRDefault="00E6278E" w:rsidP="00BE670B">
            <w:pPr>
              <w:jc w:val="left"/>
              <w:rPr>
                <w:rFonts w:cs="Sylfaen"/>
              </w:rPr>
            </w:pPr>
            <w:r>
              <w:rPr>
                <w:rFonts w:cs="Sylfaen"/>
              </w:rPr>
              <w:t>1</w:t>
            </w:r>
          </w:p>
        </w:tc>
        <w:tc>
          <w:tcPr>
            <w:tcW w:w="1260" w:type="dxa"/>
            <w:vAlign w:val="center"/>
          </w:tcPr>
          <w:p w14:paraId="55A11FDC" w14:textId="77777777" w:rsidR="008464E9" w:rsidRPr="00BE670B" w:rsidRDefault="008464E9" w:rsidP="00BE670B">
            <w:pPr>
              <w:jc w:val="center"/>
              <w:rPr>
                <w:rFonts w:cs="Sylfaen"/>
                <w:lang w:val="ka-GE"/>
              </w:rPr>
            </w:pPr>
          </w:p>
        </w:tc>
        <w:tc>
          <w:tcPr>
            <w:tcW w:w="1440" w:type="dxa"/>
          </w:tcPr>
          <w:p w14:paraId="215017E9" w14:textId="77777777" w:rsidR="008464E9" w:rsidRPr="00BE670B" w:rsidRDefault="008464E9" w:rsidP="00BE670B">
            <w:pPr>
              <w:jc w:val="left"/>
              <w:rPr>
                <w:rFonts w:cs="Sylfaen"/>
                <w:lang w:val="ka-GE"/>
              </w:rPr>
            </w:pPr>
          </w:p>
        </w:tc>
      </w:tr>
      <w:tr w:rsidR="00E6278E" w:rsidRPr="00BE670B" w14:paraId="651DBCAF" w14:textId="77777777" w:rsidTr="00E6278E">
        <w:trPr>
          <w:trHeight w:val="796"/>
        </w:trPr>
        <w:tc>
          <w:tcPr>
            <w:tcW w:w="6030" w:type="dxa"/>
          </w:tcPr>
          <w:p w14:paraId="78468D01" w14:textId="1ECEA31E" w:rsidR="00E6278E" w:rsidRPr="00E6278E" w:rsidRDefault="00E6278E" w:rsidP="00E6278E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6278E">
              <w:rPr>
                <w:rFonts w:ascii="Sylfaen" w:hAnsi="Sylfaen" w:cs="Sylfaen"/>
                <w:sz w:val="20"/>
                <w:szCs w:val="20"/>
                <w:lang w:val="ka-GE"/>
              </w:rPr>
              <w:t>Oracle EXADATA X4 HW 3Y Support</w:t>
            </w:r>
          </w:p>
        </w:tc>
        <w:tc>
          <w:tcPr>
            <w:tcW w:w="1350" w:type="dxa"/>
          </w:tcPr>
          <w:p w14:paraId="459C4E55" w14:textId="0C95B070" w:rsidR="00E6278E" w:rsidRPr="00E6278E" w:rsidRDefault="00E6278E" w:rsidP="00BE670B">
            <w:pPr>
              <w:jc w:val="left"/>
              <w:rPr>
                <w:rFonts w:cs="Sylfaen"/>
              </w:rPr>
            </w:pPr>
            <w:r>
              <w:rPr>
                <w:rFonts w:cs="Sylfaen"/>
              </w:rPr>
              <w:t>1</w:t>
            </w:r>
          </w:p>
        </w:tc>
        <w:tc>
          <w:tcPr>
            <w:tcW w:w="1260" w:type="dxa"/>
            <w:vAlign w:val="center"/>
          </w:tcPr>
          <w:p w14:paraId="1875ED2C" w14:textId="77777777" w:rsidR="00E6278E" w:rsidRPr="00BE670B" w:rsidRDefault="00E6278E" w:rsidP="00BE670B">
            <w:pPr>
              <w:jc w:val="center"/>
              <w:rPr>
                <w:rFonts w:cs="Sylfaen"/>
                <w:lang w:val="ka-GE"/>
              </w:rPr>
            </w:pPr>
          </w:p>
        </w:tc>
        <w:tc>
          <w:tcPr>
            <w:tcW w:w="1440" w:type="dxa"/>
          </w:tcPr>
          <w:p w14:paraId="7F185FBC" w14:textId="77777777" w:rsidR="00E6278E" w:rsidRPr="00BE670B" w:rsidRDefault="00E6278E" w:rsidP="00BE670B">
            <w:pPr>
              <w:jc w:val="left"/>
              <w:rPr>
                <w:rFonts w:cs="Sylfaen"/>
                <w:lang w:val="ka-GE"/>
              </w:rPr>
            </w:pPr>
          </w:p>
        </w:tc>
      </w:tr>
      <w:tr w:rsidR="00914816" w:rsidRPr="00BE670B" w14:paraId="2F04C5FA" w14:textId="77777777" w:rsidTr="00E6278E">
        <w:trPr>
          <w:trHeight w:val="625"/>
        </w:trPr>
        <w:tc>
          <w:tcPr>
            <w:tcW w:w="6030" w:type="dxa"/>
          </w:tcPr>
          <w:p w14:paraId="5AD5BFFA" w14:textId="3A970DB1" w:rsidR="00BE670B" w:rsidRPr="00BE670B" w:rsidRDefault="00E6278E" w:rsidP="00E6278E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6278E">
              <w:rPr>
                <w:rFonts w:ascii="Sylfaen" w:hAnsi="Sylfaen" w:cs="Sylfaen"/>
                <w:sz w:val="20"/>
                <w:szCs w:val="20"/>
                <w:lang w:val="ka-GE"/>
              </w:rPr>
              <w:t>Oracle EXADATA X6 HW 3Y Support</w:t>
            </w:r>
          </w:p>
        </w:tc>
        <w:tc>
          <w:tcPr>
            <w:tcW w:w="1350" w:type="dxa"/>
          </w:tcPr>
          <w:p w14:paraId="5532CB56" w14:textId="659E7B72" w:rsidR="00BE670B" w:rsidRPr="00E6278E" w:rsidRDefault="00E6278E" w:rsidP="00BE670B">
            <w:pPr>
              <w:jc w:val="lef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18AF8334" w14:textId="5CDCAD33" w:rsidR="00BE670B" w:rsidRPr="00BE670B" w:rsidRDefault="00BE670B" w:rsidP="00BE670B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</w:tcPr>
          <w:p w14:paraId="20491704" w14:textId="77777777" w:rsidR="00BE670B" w:rsidRPr="00BE670B" w:rsidRDefault="00BE670B" w:rsidP="00BE670B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938CA" w:rsidRPr="00BE670B" w14:paraId="3F7E2999" w14:textId="77777777" w:rsidTr="00E6278E">
        <w:trPr>
          <w:trHeight w:val="436"/>
        </w:trPr>
        <w:tc>
          <w:tcPr>
            <w:tcW w:w="8640" w:type="dxa"/>
            <w:gridSpan w:val="3"/>
            <w:vAlign w:val="center"/>
          </w:tcPr>
          <w:p w14:paraId="5D612C01" w14:textId="382CE817" w:rsidR="006938CA" w:rsidRPr="006938CA" w:rsidRDefault="006938CA" w:rsidP="00BE5383">
            <w:pPr>
              <w:jc w:val="center"/>
              <w:rPr>
                <w:rFonts w:ascii="Sylfaen" w:hAnsi="Sylfaen" w:cs="Sylfaen"/>
                <w:lang w:val="ka-GE"/>
              </w:rPr>
            </w:pPr>
            <w:r w:rsidRPr="006938CA">
              <w:rPr>
                <w:rFonts w:ascii="Sylfaen" w:hAnsi="Sylfaen" w:cs="Sylfaen"/>
                <w:sz w:val="20"/>
                <w:szCs w:val="20"/>
                <w:lang w:val="ka-GE"/>
              </w:rPr>
              <w:t>სულ ფასი:</w:t>
            </w:r>
          </w:p>
        </w:tc>
        <w:tc>
          <w:tcPr>
            <w:tcW w:w="1440" w:type="dxa"/>
          </w:tcPr>
          <w:p w14:paraId="73E1FB9A" w14:textId="77777777" w:rsidR="006938CA" w:rsidRPr="00BE670B" w:rsidRDefault="006938CA" w:rsidP="00BE670B">
            <w:pPr>
              <w:jc w:val="left"/>
              <w:rPr>
                <w:rFonts w:cs="Sylfaen"/>
                <w:lang w:val="ka-GE"/>
              </w:rPr>
            </w:pPr>
          </w:p>
        </w:tc>
      </w:tr>
    </w:tbl>
    <w:p w14:paraId="6809FEBA" w14:textId="77777777" w:rsidR="00B54332" w:rsidRDefault="00B54332">
      <w:pPr>
        <w:jc w:val="left"/>
        <w:rPr>
          <w:lang w:val="ka-GE"/>
        </w:rPr>
      </w:pPr>
    </w:p>
    <w:p w14:paraId="627E1789" w14:textId="77777777" w:rsidR="00B54332" w:rsidRDefault="00B54332">
      <w:pPr>
        <w:jc w:val="left"/>
        <w:rPr>
          <w:lang w:val="ka-GE"/>
        </w:rPr>
      </w:pPr>
    </w:p>
    <w:p w14:paraId="013ACC1D" w14:textId="1E6B4583" w:rsidR="00B54332" w:rsidRPr="00745D52" w:rsidRDefault="00745D52">
      <w:pPr>
        <w:jc w:val="left"/>
        <w:rPr>
          <w:i/>
          <w:lang w:val="ka-GE"/>
        </w:rPr>
      </w:pPr>
      <w:r w:rsidRPr="00745D52">
        <w:rPr>
          <w:i/>
          <w:lang w:val="ka-GE"/>
        </w:rPr>
        <w:t>ანგარიშსწორება მოხდება ყოველწლიურად თანაბარი გადახდებით.</w:t>
      </w:r>
    </w:p>
    <w:p w14:paraId="47B521F1" w14:textId="77777777" w:rsidR="00B54332" w:rsidRDefault="00B54332">
      <w:pPr>
        <w:jc w:val="left"/>
        <w:rPr>
          <w:lang w:val="ka-GE"/>
        </w:rPr>
      </w:pPr>
    </w:p>
    <w:p w14:paraId="0AE3F73E" w14:textId="77777777" w:rsidR="00B54332" w:rsidRDefault="00B54332">
      <w:pPr>
        <w:jc w:val="left"/>
        <w:rPr>
          <w:lang w:val="ka-GE"/>
        </w:rPr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10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10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BE670B">
      <w:footerReference w:type="default" r:id="rId10"/>
      <w:headerReference w:type="first" r:id="rId11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F4D86" w14:textId="77777777" w:rsidR="00F64C3B" w:rsidRDefault="00F64C3B" w:rsidP="002E7950">
      <w:r>
        <w:separator/>
      </w:r>
    </w:p>
  </w:endnote>
  <w:endnote w:type="continuationSeparator" w:id="0">
    <w:p w14:paraId="04D7BB8C" w14:textId="77777777" w:rsidR="00F64C3B" w:rsidRDefault="00F64C3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34EDA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34EDA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E644" w14:textId="77777777" w:rsidR="00F64C3B" w:rsidRDefault="00F64C3B" w:rsidP="002E7950">
      <w:r>
        <w:separator/>
      </w:r>
    </w:p>
  </w:footnote>
  <w:footnote w:type="continuationSeparator" w:id="0">
    <w:p w14:paraId="76567477" w14:textId="77777777" w:rsidR="00F64C3B" w:rsidRDefault="00F64C3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8"/>
  </w:num>
  <w:num w:numId="5">
    <w:abstractNumId w:val="7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5"/>
  </w:num>
  <w:num w:numId="15">
    <w:abstractNumId w:val="5"/>
  </w:num>
  <w:num w:numId="16">
    <w:abstractNumId w:val="10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4EDA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2957FD-FBFB-43AD-8D09-53CEDF73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Beka Choladze</cp:lastModifiedBy>
  <cp:revision>3</cp:revision>
  <cp:lastPrinted>2019-10-17T14:03:00Z</cp:lastPrinted>
  <dcterms:created xsi:type="dcterms:W3CDTF">2020-02-14T07:25:00Z</dcterms:created>
  <dcterms:modified xsi:type="dcterms:W3CDTF">2020-02-14T08:24:00Z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